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eastAsia="方正小标宋简体" w:cs="Times New Roman"/>
          <w:sz w:val="40"/>
          <w:szCs w:val="40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627" w:firstLineChars="200"/>
        <w:jc w:val="left"/>
        <w:textAlignment w:val="auto"/>
        <w:outlineLvl w:val="0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27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一、</w:t>
      </w:r>
      <w:r>
        <w:rPr>
          <w:rFonts w:hint="eastAsia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2025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政府债务限额总额为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271.16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（一）政府债务限额分类型情况。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1.一般债务限额总额情况。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政府一般债务限额总额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30.10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2.专项债务限额总额情况。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政府专项债务限额总额为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241.06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（二）新增债务限额情况。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1.新增一般债务限额情况。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政府新增一般债务限额总额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2.新增专项债务限额情况。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政府新增专项债务限额总额为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12.05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27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年度政府债务余额情况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政府债务余额决算数为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270.45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亿元，政府债务余额全部严格控制在限额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271.16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（一）一般债务余额决算数。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政府一般债务余额决算数为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29.98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（二）专项债务余额决算数。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政府专项债务余额决算数为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240.47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27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发行政府债券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16.74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亿元（新增债券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14.30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亿元、再融资债券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2.44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（一）新增一般债券发行使用情况。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发行新增一般债券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上述债券资金主要用于义务教育、脱贫攻坚、农林水利、市政基础设施等领域（详见表33）。债券期限是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年期，债券平均利率为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1.88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%，债券还本付息通过一般公共预算收入偿还。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（二）新增专项债券发行使用情况。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发行新增专项债券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12.05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详见表33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）。债券期限分别是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5、7、10、15、20、30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年期，债券平均利率为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1.93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%，债券还本付息通过对应项目取得的政府性基金或专项收入等偿还。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（三）再融资债券发行使用情况。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发行再融资债券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2.44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亿元（再融资一般债券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2.44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亿元、再融资专项债券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亿元）。上述债券资金全部用于偿还到期政府债券本金，债券期限是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年期，债券平均利率为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1.91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27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政府债券还本付息总额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7.33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亿元（本金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亿元，财政预算安排还本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亿元，再融资债券还本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亿元；财政预算安排付息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7.33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（一）一般债券还本付息情况。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政府一般债券还本付息总额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0.83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亿元（本金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亿元，财政预算安排还本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亿元，再融资债券还本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亿元；财政预算安排付息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0.83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（二）专项债券还本付息情况。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政府专项债券还本付息总额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6.50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亿元（本金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亿元，财政预算安排还本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亿元，再融资债券还本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亿元；财政预算安排付息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6.50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27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、</w:t>
      </w:r>
      <w:r>
        <w:rPr>
          <w:rFonts w:hint="eastAsia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2026</w:t>
      </w:r>
      <w:r>
        <w:rPr>
          <w:rFonts w:hint="default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年度政府债券还本付息情况</w:t>
      </w:r>
      <w:r>
        <w:rPr>
          <w:rFonts w:hint="eastAsia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政府债券还本付息总额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15.3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亿元（本金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5.32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亿元，财政预算安排还本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0.54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亿元，再融资债券还本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4.78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亿元；财政预算安排付息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9.98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（一）一般债券还本付息情况。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政府一般债券还本付息总额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1.17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亿元（本金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0.01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亿元，财政预算安排还本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0.01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亿元，再融资债券还本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亿元；财政预算安排付息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1.16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（二）专项债券还本付息情况。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政府专项债券还本付息总额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14.13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亿元（本金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5.31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亿元，财政预算安排还本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0.53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亿元，再融资债券还本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4.78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亿元；财政预算安排付息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8.82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亿元）。</w:t>
      </w:r>
    </w:p>
    <w:p>
      <w:pPr>
        <w:pStyle w:val="2"/>
        <w:rPr>
          <w:rFonts w:hint="default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27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Times New Roman" w:hAnsi="Times New Roman" w:eastAsia="楷体_GB2312" w:cs="Times New Roman"/>
          <w:b/>
          <w:spacing w:val="-4"/>
          <w:sz w:val="32"/>
          <w:szCs w:val="32"/>
          <w:highlight w:val="none"/>
          <w:lang w:val="en-US" w:eastAsia="zh-CN"/>
        </w:rPr>
        <w:t>年度本级政府专项债务情况。</w:t>
      </w:r>
    </w:p>
    <w:p>
      <w:pPr>
        <w:widowControl w:val="0"/>
        <w:spacing w:line="60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米东区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政府专项债券收入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亿元、支出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7.41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亿元、还本付息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7.33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亿元，专项债券项目对应专项收入共计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0.02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有一定收益的公益性政府投资项目建设。债券期限分别是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10、15、20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……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1.93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%，债券还本付息资金已足额列入年初财政预算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bookmarkStart w:id="0" w:name="_GoBack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</w:t>
      </w:r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政府专项债券项目表</w:t>
      </w: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z&#10;SVju0AAAAAUBAAAPAAAAAAAAAAEAIAAAACIAAABkcnMvZG93bnJldi54bWxQSwECFAAUAAAACACH&#10;TuJAMpWt9LoBAABiAwAADgAAAAAAAAABACAAAAAfAQAAZHJzL2Uyb0RvYy54bWxQSwUGAAAAAAYA&#10;BgBZAQAAS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2036EF5"/>
    <w:rsid w:val="00ED5986"/>
    <w:rsid w:val="045C18E2"/>
    <w:rsid w:val="05F14414"/>
    <w:rsid w:val="06C70A28"/>
    <w:rsid w:val="08443130"/>
    <w:rsid w:val="0E1A3B33"/>
    <w:rsid w:val="102671C6"/>
    <w:rsid w:val="1AE44971"/>
    <w:rsid w:val="1BAA004E"/>
    <w:rsid w:val="1DBC0763"/>
    <w:rsid w:val="22F97D63"/>
    <w:rsid w:val="25F041AE"/>
    <w:rsid w:val="264458BD"/>
    <w:rsid w:val="2649670E"/>
    <w:rsid w:val="267F16A9"/>
    <w:rsid w:val="268545F5"/>
    <w:rsid w:val="28060F58"/>
    <w:rsid w:val="281C6C84"/>
    <w:rsid w:val="2A930A9D"/>
    <w:rsid w:val="2DAF3E40"/>
    <w:rsid w:val="2F955B05"/>
    <w:rsid w:val="31093867"/>
    <w:rsid w:val="312C2A52"/>
    <w:rsid w:val="31CB241F"/>
    <w:rsid w:val="31DC4DAD"/>
    <w:rsid w:val="34254E5C"/>
    <w:rsid w:val="35270760"/>
    <w:rsid w:val="35845A05"/>
    <w:rsid w:val="38E726E0"/>
    <w:rsid w:val="3A792C8C"/>
    <w:rsid w:val="3AB83781"/>
    <w:rsid w:val="3AC802EF"/>
    <w:rsid w:val="3B705BA2"/>
    <w:rsid w:val="3C2B6D87"/>
    <w:rsid w:val="3CD64F45"/>
    <w:rsid w:val="3D07146C"/>
    <w:rsid w:val="3D210F01"/>
    <w:rsid w:val="3D321B9A"/>
    <w:rsid w:val="3E0A6EC5"/>
    <w:rsid w:val="40C31E27"/>
    <w:rsid w:val="41383B1C"/>
    <w:rsid w:val="41DE4E43"/>
    <w:rsid w:val="42EB101F"/>
    <w:rsid w:val="43173ACA"/>
    <w:rsid w:val="43182454"/>
    <w:rsid w:val="43CD6976"/>
    <w:rsid w:val="44D06CEB"/>
    <w:rsid w:val="4522704B"/>
    <w:rsid w:val="459A1B0A"/>
    <w:rsid w:val="469C5C39"/>
    <w:rsid w:val="471E3A4F"/>
    <w:rsid w:val="4B597946"/>
    <w:rsid w:val="4B775B45"/>
    <w:rsid w:val="4D4A2D99"/>
    <w:rsid w:val="4D6E4D26"/>
    <w:rsid w:val="4E413818"/>
    <w:rsid w:val="4E6F0D56"/>
    <w:rsid w:val="4E6F51FA"/>
    <w:rsid w:val="4E8B15B4"/>
    <w:rsid w:val="4F367AC5"/>
    <w:rsid w:val="51576579"/>
    <w:rsid w:val="52832978"/>
    <w:rsid w:val="52946FDD"/>
    <w:rsid w:val="53937294"/>
    <w:rsid w:val="54046DFD"/>
    <w:rsid w:val="545E21E7"/>
    <w:rsid w:val="557650C0"/>
    <w:rsid w:val="57544F8D"/>
    <w:rsid w:val="58C63C68"/>
    <w:rsid w:val="597C6A1D"/>
    <w:rsid w:val="5B0B3CDA"/>
    <w:rsid w:val="5BA51563"/>
    <w:rsid w:val="5CBA6BA1"/>
    <w:rsid w:val="5E166C88"/>
    <w:rsid w:val="5F9755FB"/>
    <w:rsid w:val="5FBB1725"/>
    <w:rsid w:val="600339F4"/>
    <w:rsid w:val="60857625"/>
    <w:rsid w:val="61930DA7"/>
    <w:rsid w:val="61B054B5"/>
    <w:rsid w:val="62036EF5"/>
    <w:rsid w:val="62925F9A"/>
    <w:rsid w:val="62C85E72"/>
    <w:rsid w:val="645C36D2"/>
    <w:rsid w:val="659D0447"/>
    <w:rsid w:val="67CC6DC1"/>
    <w:rsid w:val="67E2596F"/>
    <w:rsid w:val="68415177"/>
    <w:rsid w:val="693B41FE"/>
    <w:rsid w:val="69994CD7"/>
    <w:rsid w:val="6A294057"/>
    <w:rsid w:val="6BCD6A66"/>
    <w:rsid w:val="705636CC"/>
    <w:rsid w:val="71771B4C"/>
    <w:rsid w:val="72BA5D1A"/>
    <w:rsid w:val="777E1618"/>
    <w:rsid w:val="77D50318"/>
    <w:rsid w:val="79657D37"/>
    <w:rsid w:val="79C478F8"/>
    <w:rsid w:val="79D92E11"/>
    <w:rsid w:val="7A033B76"/>
    <w:rsid w:val="7CA53A11"/>
    <w:rsid w:val="7E50694E"/>
    <w:rsid w:val="7F1C33F6"/>
    <w:rsid w:val="7F9345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ind w:left="1277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4">
    <w:name w:val="Body Text"/>
    <w:basedOn w:val="1"/>
    <w:qFormat/>
    <w:uiPriority w:val="0"/>
    <w:rPr>
      <w:rFonts w:ascii="方正仿宋_GBK" w:hAnsi="方正仿宋_GBK" w:eastAsia="方正仿宋_GBK" w:cs="方正仿宋_GBK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1056</Words>
  <Characters>1471</Characters>
  <Lines>0</Lines>
  <Paragraphs>0</Paragraphs>
  <TotalTime>1</TotalTime>
  <ScaleCrop>false</ScaleCrop>
  <LinksUpToDate>false</LinksUpToDate>
  <CharactersWithSpaces>1516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2023-01-28T05:27:00Z</dcterms:created>
  <dc:creator>Administrator</dc:creator>
  <cp:lastModifiedBy>Administrator</cp:lastModifiedBy>
  <cp:lastPrinted>2026-01-22T02:25:00Z</cp:lastPrinted>
  <dcterms:modified xsi:type="dcterms:W3CDTF">2026-02-11T09:26:31Z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52FF27D38ECC43559E8D61A733DD990D_13</vt:lpwstr>
  </property>
  <property fmtid="{D5CDD505-2E9C-101B-9397-08002B2CF9AE}" pid="4" name="KSOTemplateDocerSaveRecord">
    <vt:lpwstr>eyJoZGlkIjoiNTk0M2JmODI1ZDUxYjhhNDI1Y2QxMDMyNDk0MzBiYTUifQ==</vt:lpwstr>
  </property>
</Properties>
</file>